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Palatino Linotype" w:hAnsi="Palatino Linotype" w:eastAsia="Palatino Linotype" w:cs="Palatino Linotype"/>
          <w:color w:val="000000"/>
          <w:sz w:val="24"/>
          <w:szCs w:val="24"/>
        </w:rPr>
      </w:pPr>
    </w:p>
    <w:p>
      <w:pPr>
        <w:jc w:val="center"/>
        <w:rPr>
          <w:rFonts w:ascii="Palatino Linotype" w:hAnsi="Palatino Linotype" w:eastAsia="Palatino Linotype" w:cs="Palatino Linotype"/>
          <w:b/>
          <w:color w:val="000000"/>
          <w:sz w:val="24"/>
          <w:szCs w:val="24"/>
        </w:rPr>
      </w:pPr>
    </w:p>
    <w:p>
      <w:pPr>
        <w:jc w:val="center"/>
        <w:rPr>
          <w:rFonts w:ascii="Palatino Linotype" w:hAnsi="Palatino Linotype" w:eastAsia="Palatino Linotype" w:cs="Palatino Linotype"/>
          <w:b/>
          <w:color w:val="000000"/>
          <w:sz w:val="24"/>
          <w:szCs w:val="24"/>
        </w:rPr>
      </w:pP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Standardy Ochrony Małoletnich</w:t>
      </w:r>
    </w:p>
    <w:p>
      <w:pPr>
        <w:jc w:val="center"/>
        <w:rPr>
          <w:rFonts w:ascii="Arial" w:hAnsi="Arial" w:eastAsia="Arial" w:cs="Arial"/>
          <w:b/>
        </w:rPr>
      </w:pPr>
    </w:p>
    <w:p>
      <w:pPr>
        <w:jc w:val="center"/>
        <w:rPr>
          <w:rFonts w:hint="default" w:ascii="Arial" w:hAnsi="Arial" w:eastAsia="Arial" w:cs="Arial"/>
          <w:b/>
          <w:lang w:val="pl-PL"/>
        </w:rPr>
      </w:pPr>
      <w:r>
        <w:rPr>
          <w:rFonts w:ascii="Arial" w:hAnsi="Arial" w:eastAsia="Arial" w:cs="Arial"/>
          <w:b/>
          <w:rtl w:val="0"/>
        </w:rPr>
        <w:t xml:space="preserve">w </w:t>
      </w:r>
      <w:r>
        <w:rPr>
          <w:rFonts w:hint="default" w:ascii="Arial" w:hAnsi="Arial" w:eastAsia="Arial" w:cs="Arial"/>
          <w:b/>
          <w:rtl w:val="0"/>
          <w:lang w:val="pl-PL"/>
        </w:rPr>
        <w:t>Angielskiej Stacji</w:t>
      </w:r>
    </w:p>
    <w:p>
      <w:pPr>
        <w:jc w:val="center"/>
        <w:rPr>
          <w:rFonts w:ascii="Arial" w:hAnsi="Arial" w:eastAsia="Arial" w:cs="Arial"/>
          <w:b/>
        </w:rPr>
      </w:pPr>
    </w:p>
    <w:p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zwan</w:t>
      </w:r>
      <w:r>
        <w:rPr>
          <w:rFonts w:hint="default" w:ascii="Arial" w:hAnsi="Arial" w:eastAsia="Arial" w:cs="Arial"/>
          <w:b/>
          <w:rtl w:val="0"/>
          <w:lang w:val="pl-PL"/>
        </w:rPr>
        <w:t>ej</w:t>
      </w:r>
      <w:r>
        <w:rPr>
          <w:rFonts w:ascii="Arial" w:hAnsi="Arial" w:eastAsia="Arial" w:cs="Arial"/>
          <w:b/>
          <w:rtl w:val="0"/>
        </w:rPr>
        <w:t xml:space="preserve"> dalej “Szkołą”.</w:t>
      </w:r>
    </w:p>
    <w:p>
      <w:pPr>
        <w:jc w:val="left"/>
        <w:rPr>
          <w:rFonts w:ascii="Arial" w:hAnsi="Arial" w:eastAsia="Arial" w:cs="Arial"/>
          <w:b/>
        </w:rPr>
      </w:pPr>
    </w:p>
    <w:p>
      <w:pPr>
        <w:ind w:left="3600" w:firstLine="72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Preambuła</w:t>
      </w:r>
    </w:p>
    <w:p>
      <w:pPr>
        <w:jc w:val="both"/>
        <w:rPr>
          <w:rFonts w:ascii="Arial" w:hAnsi="Arial" w:eastAsia="Arial" w:cs="Arial"/>
          <w:b/>
        </w:rPr>
      </w:pPr>
    </w:p>
    <w:p>
      <w:pPr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Naczelną zasadą wszystkich działań podejmowanych przez Instruktorów zajęć/Pracowników/Nauczycieli/ Współpracowników Szkoły oraz podmiotów współpracujących i współdziałających są działania mające na celu dobro dziecka i poszanowanie jego praw. Instruktor zajęć/ Pracownik/ Współpracownik szkoły traktuje dziecko z szacunkiem oraz uwzględnia jego potrzeby. Podkreśla się niedopuszczalność stosowania  wobec dziecka przemocy w jakiejkolwiek formie. </w:t>
      </w:r>
    </w:p>
    <w:p>
      <w:pPr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Instruktor zajęć/Pracownik/Nauczyciel realizując te cele, działa w ramach obowiązującego prawa, przepisów wewnętrznych Szkoły i procedur określonych w niniejszym dokumencie oraz swoich kompetencji.</w:t>
      </w:r>
    </w:p>
    <w:p>
      <w:pPr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Niniejszy system ochrony dzieci przed krzywdzeniem określają procedury interwencji, działania profilaktyczne, edukacyjne, zasady zapobiegania krzywdzeniu dzieci, a w przypadku , gdy do tego godziło – określa zasady zmniejszenia rozmiaru jego skutków oraz wskazuje odpowiedzialność Personelu Szkoły za bezpieczeństwo dzieci do niej uczęszczających. </w:t>
      </w:r>
    </w:p>
    <w:p>
      <w:pPr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</w:p>
    <w:p>
      <w:pPr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Podstawy prawne Standardów Ochrony Małoletnich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Konwencja o prawach dziecka przyjęta przez Zgromadzenie Ogólne Narodów Zjednoczonych dnia 20 listopada 1989 r. (Dz. U. z 1991r. Nr 120, poz. 526 z późn. zm.)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Konstytucja Rzeczypospolitej Polskiej z dnia 2 kwietnia 1997 r. (Dz. U. Nr 78, poz. 483 z późn. zm.)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Ustawa z dnia 25 lutego 1964 r. Kodeks rodzinny i opiekuńczy (t.j. Dz. U. Z 2020 r. poz. 1359)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Ustawa z dnia 28 lipca 2023 r. o zmianie ustawy - Kodeks rodzinny i opiekuńczy oraz niektórych innych ustaw (Dz. U. Poz. 1606) oraz innych 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Ustawa z dnia 29 lipca 2005 r. o przeciwdziałaniu przemocy domowej (t.j. Dz. U. z 2021 r. poz. 1249).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Ustawa z dnia 6 czerwca 1997 r. Kodeks karny (t.j. Dz. U. z 2022 r. poz. 1138 z późn. zm.).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Ustawa z dnia 6 czerwca 1997 r. Kodeks postępowania karnego (t.j. Dz. U. Z 2022 r. poz. 1375 z późn. zm.)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Ustawa z dnia 23 kwietnia 1964 r. Kodeks cywilny (t.j. Dz. U. z 2022 r. poz. 1360 z późn. zm.) -art. 23 i 24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Ustawa z dnia 17 listopada 1964 r. Kodeks postępowania cywilnego (t.j. Dz. U. z 2023 r. poz. 1550 z późn. zm.).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Art. 221 oraz art. 221a Ustawy z dnia 26 czerwca 1974 r. Kodeks pracy (t.j. Dz. U. z 2022 r. poz. 1510).</w:t>
      </w:r>
    </w:p>
    <w:p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Ustawa z dnia 13 maja 2016 r. o przeciwdziałaniu zagrożeniom przestępczością na tle seksualnym (t.j. Dz. U. z 2020 r. poz. 152).</w:t>
      </w:r>
    </w:p>
    <w:p>
      <w:pPr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§ 1.</w:t>
      </w: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Definicje 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Pracownikiem/Instruktorem zajęć/</w:t>
      </w:r>
      <w:r>
        <w:rPr>
          <w:rFonts w:ascii="Arial" w:hAnsi="Arial" w:eastAsia="Arial" w:cs="Arial"/>
          <w:rtl w:val="0"/>
        </w:rPr>
        <w:t>Lektorem/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Nauczycielem szkoły jest osoba zatrudniona na podstawie umowy o pracę lub umowy zlecenia, zwany dalej Personelem.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Podmiotem współpracującym i współdziałającym – są podmioty </w:t>
      </w:r>
      <w:r>
        <w:rPr>
          <w:rFonts w:ascii="Arial" w:hAnsi="Arial" w:eastAsia="Arial" w:cs="Arial"/>
          <w:color w:val="000000"/>
          <w:sz w:val="25"/>
          <w:szCs w:val="25"/>
          <w:rtl w:val="0"/>
        </w:rPr>
        <w:t>świadczące  przez Szkołę usługi dydaktycz</w:t>
      </w:r>
      <w:r>
        <w:rPr>
          <w:rFonts w:ascii="Arial" w:hAnsi="Arial" w:eastAsia="Arial" w:cs="Arial"/>
          <w:sz w:val="25"/>
          <w:szCs w:val="25"/>
          <w:rtl w:val="0"/>
        </w:rPr>
        <w:t>ne</w:t>
      </w:r>
      <w:r>
        <w:rPr>
          <w:rFonts w:ascii="Arial" w:hAnsi="Arial" w:eastAsia="Arial" w:cs="Arial"/>
          <w:color w:val="000000"/>
          <w:sz w:val="25"/>
          <w:szCs w:val="25"/>
          <w:rtl w:val="0"/>
        </w:rPr>
        <w:t xml:space="preserve"> i opiekuńczo-wychowawcz</w:t>
      </w:r>
      <w:r>
        <w:rPr>
          <w:rFonts w:ascii="Arial" w:hAnsi="Arial" w:eastAsia="Arial" w:cs="Arial"/>
          <w:sz w:val="25"/>
          <w:szCs w:val="25"/>
          <w:rtl w:val="0"/>
        </w:rPr>
        <w:t>e.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Dyrektorem – jest osob</w:t>
      </w:r>
      <w:r>
        <w:rPr>
          <w:rFonts w:ascii="Arial" w:hAnsi="Arial" w:eastAsia="Arial" w:cs="Arial"/>
          <w:rtl w:val="0"/>
        </w:rPr>
        <w:t>a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, która jest uprawniona do podejmowania decyzji, w tym sprawującą nadzór nad realizacją Standardów Ochrony Małoletnich przed krzywdzeniem.</w:t>
      </w:r>
    </w:p>
    <w:p>
      <w:pPr>
        <w:numPr>
          <w:ilvl w:val="0"/>
          <w:numId w:val="2"/>
        </w:numPr>
        <w:ind w:left="720" w:hanging="3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Dzieckiem/małoletnim jest każda osoba do ukończenia 18. roku życia.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Opiekunem dziecka jest osoba uprawniona do reprezentacji dziecka, w szczególności jego rodzic lub opiekun prawny, a także rodzic zastępczy.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Zgoda rodzica dziecka -  oznacza zgodę co najmniej jednego z rodziców dziecka, a w  przypadku braku porozumienia między rodzicami dziecka, koniecznym jest poinformowanie rodziców o konieczności rozstrzygnięcia sprawy przez sąd rodzinny.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Krzywdzenie dziecka-  należy przez to rozumieć popełnienie czynu zabronionego lub czynu karalnego na szkodę dziecka przez jakąkolwiek osobę, również przez Personel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Osoba odpowiedzialna za Internet to wyznaczony przez Dyrektora szkoły pracownik, sprawujący nadzór nad korzystaniem z Internetu przez dzieci na terenie szkoły oraz nad bezpieczeństwem dzieci w Internecie.</w:t>
      </w:r>
    </w:p>
    <w:p>
      <w:pPr>
        <w:numPr>
          <w:ilvl w:val="0"/>
          <w:numId w:val="2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Dane osobowe dziecka to wszelkie informacje umożliwiające identyfikację dziecka.</w:t>
      </w:r>
    </w:p>
    <w:p>
      <w:pPr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§ 2.</w:t>
      </w:r>
    </w:p>
    <w:p>
      <w:pPr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rtl w:val="0"/>
        </w:rPr>
        <w:t xml:space="preserve">          </w:t>
      </w: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Rozpoznawanie i reagowanie na czynniki ryzyka krzywdzenia dzieci</w:t>
      </w:r>
    </w:p>
    <w:p>
      <w:pPr>
        <w:jc w:val="left"/>
        <w:rPr>
          <w:rFonts w:ascii="Arial" w:hAnsi="Arial" w:eastAsia="Arial" w:cs="Arial"/>
          <w:b/>
        </w:rPr>
      </w:pPr>
    </w:p>
    <w:p>
      <w:pPr>
        <w:numPr>
          <w:ilvl w:val="0"/>
          <w:numId w:val="3"/>
        </w:numPr>
        <w:ind w:left="720" w:hanging="3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Personel Szkoły posiada wiedzę i w ramach wykonywanych obowiązków zwraca uwagę na czynniki ryzyka oraz symptomy krzywdzenia dzieci.</w:t>
      </w:r>
    </w:p>
    <w:p>
      <w:pPr>
        <w:numPr>
          <w:ilvl w:val="0"/>
          <w:numId w:val="3"/>
        </w:numPr>
        <w:ind w:left="720" w:hanging="3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W przypadku zidentyfikowania czynników ryzyka Dyrektor szkoły podejmuje rozmowę z rodzicami, przekazując informacje na temat dostępnej oferty wsparcia, motywując ich do szukania dla siebie pomocy.</w:t>
      </w:r>
    </w:p>
    <w:p>
      <w:pPr>
        <w:numPr>
          <w:ilvl w:val="0"/>
          <w:numId w:val="3"/>
        </w:numPr>
        <w:ind w:left="720" w:hanging="3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Personel szkoły monitoruje sytuację i dobrostan dziecka.</w:t>
      </w:r>
    </w:p>
    <w:p>
      <w:pPr>
        <w:numPr>
          <w:ilvl w:val="0"/>
          <w:numId w:val="3"/>
        </w:numPr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Personel szkoły zna i stosuje zasady bezpiecznych relacji pracownik szkoły – dziecko i dziecko – dziecko ustalone w szkole. Zasady stanowią Załącznik 2 do niniejszych Standardów.</w:t>
      </w:r>
    </w:p>
    <w:p>
      <w:pPr>
        <w:numPr>
          <w:ilvl w:val="0"/>
          <w:numId w:val="3"/>
        </w:numPr>
        <w:ind w:left="72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Rekrutacja personelu szkoły odbywa się zgodnie z zasadami bezpiecznej rekrutacji. Zasady stanowią Załącznik 1 do niniejszych Standardów.</w:t>
      </w: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§ 3</w:t>
      </w: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Procedura interwencji w przypadku krzywdzenia dziecka</w:t>
      </w:r>
    </w:p>
    <w:p>
      <w:pPr>
        <w:jc w:val="center"/>
        <w:rPr>
          <w:rFonts w:ascii="Arial" w:hAnsi="Arial" w:eastAsia="Arial" w:cs="Arial"/>
          <w:b/>
        </w:rPr>
      </w:pPr>
    </w:p>
    <w:p>
      <w:pPr>
        <w:numPr>
          <w:ilvl w:val="0"/>
          <w:numId w:val="4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W przypadku podjęcia przez Personel szkoły podejrzenia, że dziecko jest krzywdzone, obowiązkiem jest sporządzenie notatki służbowej i przekazanie uzyskanej informacji Dyrektorowi.</w:t>
      </w:r>
    </w:p>
    <w:p>
      <w:pPr>
        <w:numPr>
          <w:ilvl w:val="0"/>
          <w:numId w:val="4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Po uzyskaniu informacji, Dyrektor wzywa opiekunów dziecka, którego krzywdzenie podejrzewa, oraz informuje ich o podejrzeniu. Na podstawie rozmów z rodzicami Dyrektor szkoły powinien sporządzić opis sytuacji szkolnej i rodzinnej dziecka na podstawie rozmów z dzieckiem, personelem i rodzicami, oraz plan pomocy dziecku.</w:t>
      </w:r>
    </w:p>
    <w:p>
      <w:pPr>
        <w:numPr>
          <w:ilvl w:val="0"/>
          <w:numId w:val="4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Plan pomocy dziecku powinien zawierać wskazania dotyczące:</w:t>
      </w:r>
    </w:p>
    <w:p>
      <w:pPr>
        <w:numPr>
          <w:ilvl w:val="0"/>
          <w:numId w:val="5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podjęcia przez szkołę działań w celu zapewnienia dziecku bezpieczeństwa, w tym zgłoszenie podejrzenia krzywdzenia do odpowiedniej instytucji;</w:t>
      </w:r>
    </w:p>
    <w:p>
      <w:pPr>
        <w:numPr>
          <w:ilvl w:val="0"/>
          <w:numId w:val="5"/>
        </w:numPr>
        <w:ind w:left="720" w:hanging="36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wsparcia, jakie szkoła </w:t>
      </w:r>
      <w:r>
        <w:rPr>
          <w:rFonts w:ascii="Arial" w:hAnsi="Arial" w:eastAsia="Arial" w:cs="Arial"/>
          <w:rtl w:val="0"/>
        </w:rPr>
        <w:t>oferuje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dziecku;</w:t>
      </w:r>
    </w:p>
    <w:p>
      <w:pPr>
        <w:numPr>
          <w:ilvl w:val="0"/>
          <w:numId w:val="5"/>
        </w:numPr>
        <w:ind w:left="720" w:hanging="36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skierowania dziecka do specjalistycznej </w:t>
      </w:r>
      <w:r>
        <w:rPr>
          <w:rFonts w:ascii="Arial" w:hAnsi="Arial" w:eastAsia="Arial" w:cs="Arial"/>
          <w:rtl w:val="0"/>
        </w:rPr>
        <w:t>formy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 pomocy dziecku, jeżeli istnieje taka potrzeba.</w:t>
      </w:r>
    </w:p>
    <w:p>
      <w:pPr>
        <w:tabs>
          <w:tab w:val="left" w:pos="30"/>
          <w:tab w:val="left" w:pos="45"/>
        </w:tabs>
        <w:ind w:left="720" w:firstLine="0"/>
        <w:jc w:val="both"/>
        <w:rPr>
          <w:rFonts w:ascii="Arial" w:hAnsi="Arial" w:eastAsia="Arial" w:cs="Arial"/>
          <w:b/>
        </w:rPr>
      </w:pPr>
    </w:p>
    <w:p>
      <w:pPr>
        <w:tabs>
          <w:tab w:val="left" w:pos="30"/>
          <w:tab w:val="left" w:pos="45"/>
        </w:tabs>
        <w:ind w:left="720" w:firstLine="0"/>
        <w:jc w:val="both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W przypadkach bardziej skomplikowanych:</w:t>
      </w:r>
    </w:p>
    <w:p>
      <w:pPr>
        <w:tabs>
          <w:tab w:val="left" w:pos="30"/>
          <w:tab w:val="left" w:pos="45"/>
        </w:tabs>
        <w:ind w:left="720" w:firstLine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(dotyczących wykorzystywania seksualnego oraz znęcania się fizycznego i psychicznego o dużym nasileniu) </w:t>
      </w:r>
    </w:p>
    <w:p>
      <w:pPr>
        <w:numPr>
          <w:ilvl w:val="0"/>
          <w:numId w:val="5"/>
        </w:numPr>
        <w:tabs>
          <w:tab w:val="left" w:pos="30"/>
          <w:tab w:val="left" w:pos="45"/>
        </w:tabs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Dyrektor szkoły powołuje zespół interwencyjny, w skład którego mogą wejść: kierownictwo szkoły oraz inni pracownicy szkoły mający wiedzę o krzywdzeniu dziecka lub o dziecku (dalej określani jako: zespół interwencyjny), który sporządza plan pomocy dziecku, spełniający wymogi określone w ust.3 powyżej.</w:t>
      </w:r>
    </w:p>
    <w:p>
      <w:pPr>
        <w:tabs>
          <w:tab w:val="left" w:pos="30"/>
          <w:tab w:val="left" w:pos="45"/>
        </w:tabs>
        <w:ind w:left="720" w:firstLine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W przypadku, gdy podejrzenie krzywdzenie dziecka zgłoszą rodzice/opiekunowie dziecka – Dyrektor szkoły zobowiązany jest powołać zespół interwencyjny, który wzywa rodziców/opiekunów dziecka na spotkanie wyjaśniające, podczas którego może zaproponować zdiagnozowanie zgłaszanego podejrzenia w zewnętrznej, bezstronnej instytucji. Ze spotkania sporządza się protokół. Plan pomocy dziecku jest przedstawiany jest przez Dyrektora szkoły opiekunom z zaleceniem współpracy przy jego realizacji.</w:t>
      </w:r>
    </w:p>
    <w:p>
      <w:pPr>
        <w:tabs>
          <w:tab w:val="left" w:pos="30"/>
          <w:tab w:val="left" w:pos="45"/>
        </w:tabs>
        <w:ind w:left="720" w:firstLine="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jc w:val="both"/>
        <w:rPr>
          <w:rFonts w:ascii="Palatino Linotype" w:hAnsi="Palatino Linotype" w:eastAsia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eastAsia="Palatino Linotype" w:cs="Palatino Linotype"/>
          <w:color w:val="000000"/>
          <w:sz w:val="24"/>
          <w:szCs w:val="24"/>
          <w:rtl w:val="0"/>
        </w:rPr>
        <w:t xml:space="preserve">4.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Dyrektor szkoły informuje opiekunów o obowiązku szkoły zgłoszenia podejrzenia krzywdzenia dziecka do odpowiedniej placówki (prokuratura/policja lub sąd rodzinny, ośrodek pomocy społecznej bądź przewodniczący zespołu interdyscyplinarnego – procedura „Niebieskie Karty” – w zależności od zdiagnozowanego typu krzywdzenia i skorelowanej z nim interwencji.</w:t>
      </w:r>
    </w:p>
    <w:p>
      <w:pPr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3. Po poinformowaniu opiekunów przez Dyrektor szkoły – zgodnie z ust. 4 powyżej składa  się zawiadomienie o podejrzeniu przestępstwa do prokuratury/policji lub wniosek o wgląd w sytuację rodziny do sądu rejonowego, wydziału rodzinnego i nieletnich,ośrodka pomocy społecznej lub przesyła formularz „Niebieska Karta – A” do przewodniczącego zespołu interdyscyplinarnego.</w:t>
      </w:r>
    </w:p>
    <w:p>
      <w:pPr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4. W przypadku gdy podejrzenie krzywdzenia zgłosili opiekunowie dziecka, a podejrzenie to nie zostało potwierdzone, należy o tym fakcie poinformować opiekunów dziecka na piśmie.</w:t>
      </w:r>
    </w:p>
    <w:p>
      <w:pPr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5. Z przebiegu interwencji sporządza się kartę interwencji, której wzór stanowi Załącznik 3 do niniejszych Standardów. Kartę załącza się do kwestionariusza małoletniego.</w:t>
      </w:r>
    </w:p>
    <w:p>
      <w:pPr>
        <w:jc w:val="both"/>
        <w:rPr>
          <w:rFonts w:ascii="Palatino Linotype" w:hAnsi="Palatino Linotype" w:eastAsia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eastAsia="Palatino Linotype" w:cs="Palatino Linotype"/>
          <w:color w:val="000000"/>
          <w:sz w:val="24"/>
          <w:szCs w:val="24"/>
          <w:rtl w:val="0"/>
        </w:rPr>
        <w:t xml:space="preserve">6.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Personel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>
      <w:pP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§ 4</w:t>
      </w: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Zasady ochrony wizerunku dziecka</w:t>
      </w:r>
    </w:p>
    <w:p>
      <w:pPr>
        <w:jc w:val="center"/>
        <w:rPr>
          <w:rFonts w:ascii="Arial" w:hAnsi="Arial" w:eastAsia="Arial" w:cs="Arial"/>
          <w:b/>
        </w:rPr>
      </w:pPr>
    </w:p>
    <w:p>
      <w:pPr>
        <w:numPr>
          <w:ilvl w:val="0"/>
          <w:numId w:val="6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Szkoła uznając prawo dziecka do prywatności  i ochrony dóbr osobistych zapewnia ochronę wizerunku oraz najwyższe standardy ochrony danych osobowych dzieci zgodnie z obowiązującymi przepisami prawa</w:t>
      </w:r>
      <w:r>
        <w:rPr>
          <w:rFonts w:hint="default" w:ascii="Arial" w:hAnsi="Arial" w:eastAsia="Arial" w:cs="Arial"/>
          <w:color w:val="000000"/>
          <w:sz w:val="24"/>
          <w:szCs w:val="24"/>
          <w:rtl w:val="0"/>
          <w:lang w:val="pl-PL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RODO</w:t>
      </w:r>
      <w:r>
        <w:rPr>
          <w:rFonts w:hint="default" w:ascii="Arial" w:hAnsi="Arial" w:eastAsia="Arial" w:cs="Arial"/>
          <w:color w:val="000000"/>
          <w:sz w:val="24"/>
          <w:szCs w:val="24"/>
          <w:rtl w:val="0"/>
          <w:lang w:val="pl-PL"/>
        </w:rPr>
        <w:t>, które są integralną częścią umowy.</w:t>
      </w:r>
    </w:p>
    <w:p>
      <w:pPr>
        <w:numPr>
          <w:ilvl w:val="0"/>
          <w:numId w:val="6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Personelowi szkoły nie wolno umożliwiać przedstawicielom mediów utrwalania wizerunku dziecka (filmowanie, fotografowanie, nagrywanie głosu dziecka) na terenie szkoły bez pisemnej zgody rodzica lub opiekuna prawnego dziecka.</w:t>
      </w:r>
    </w:p>
    <w:p>
      <w:pPr>
        <w:numPr>
          <w:ilvl w:val="0"/>
          <w:numId w:val="6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Niedopuszczalne jest podanie przedstawicielowi mediów danych kontaktowych do opiekuna dziecka – bez wiedzy i zgody tego opiekuna.</w:t>
      </w:r>
    </w:p>
    <w:p>
      <w:pPr>
        <w:numPr>
          <w:ilvl w:val="0"/>
          <w:numId w:val="6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Jeżeli wizerunek dziecka stanowi jedynie szczegół całości, takiej jak: zgromadzenie, krajobraz, publiczna impreza, zgoda rodzica lub opiekuna prawnego na utrwalanie wizerunku dziecka nie jest wymagana.</w:t>
      </w:r>
    </w:p>
    <w:p>
      <w:pPr>
        <w:numPr>
          <w:ilvl w:val="0"/>
          <w:numId w:val="6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Upublicznienie przez Personel wizerunku dziecka utrwalonego w jakiejkolwiek formie (fotografia, nagranie audio-wideo) wymaga pisemnej zgody rodzica lub opiekuna prawnego dziecka. Dobrą praktyką jest również pozyskiwanie zgód samych dzieci.</w:t>
      </w:r>
    </w:p>
    <w:p>
      <w:pPr>
        <w:ind w:left="3960" w:firstLine="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</w:p>
    <w:p>
      <w:pPr>
        <w:ind w:left="3960" w:firstLine="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§ 5</w:t>
      </w:r>
    </w:p>
    <w:p>
      <w:pPr>
        <w:ind w:left="2520" w:firstLine="0"/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Zasady dostępu dzieci do Internetu</w:t>
      </w:r>
    </w:p>
    <w:p>
      <w:pPr>
        <w:ind w:left="2520" w:firstLine="0"/>
        <w:jc w:val="left"/>
        <w:rPr>
          <w:rFonts w:ascii="Arial" w:hAnsi="Arial" w:eastAsia="Arial" w:cs="Arial"/>
          <w:b/>
        </w:rPr>
      </w:pPr>
    </w:p>
    <w:p>
      <w:pPr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Szkoła, zapewniając dzieciom dostęp do Internetu  podejmuje działania zabezpieczające małoletnich przed z przed dostępem do treści, które mogą stanowić zagrożenie dla ich prawidłowego rozwoju; w szczególności na komputerach</w:t>
      </w:r>
      <w:r>
        <w:rPr>
          <w:rFonts w:ascii="Arial" w:hAnsi="Arial" w:eastAsia="Arial" w:cs="Arial"/>
          <w:rtl w:val="0"/>
        </w:rPr>
        <w:t xml:space="preserve">, których używają dzieci,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należy zainstalować i aktualizować oprogramowanie zabezpieczające. Zasady bezpiecznego korzystania z Internetu stanowią Załącznik 5 do niniejszych Standardów. Personel szkoły czuwa także nad bezpieczeństwem korzystania z Internetu przez dzieci podczas lekcji. Osoba odpowiedzialna za Internet  w porozumieniu z Dyrektorem Szkoły zapewnia, aby sieć internetowa organizacji szkoły była zabezpieczona przed niebezpiecznymi treściami.</w:t>
      </w:r>
    </w:p>
    <w:p>
      <w:pPr>
        <w:jc w:val="left"/>
        <w:rPr>
          <w:rFonts w:ascii="Palatino Linotype" w:hAnsi="Palatino Linotype" w:eastAsia="Palatino Linotype" w:cs="Palatino Linotype"/>
          <w:color w:val="000000"/>
          <w:sz w:val="24"/>
          <w:szCs w:val="24"/>
        </w:rPr>
      </w:pP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§ 6 </w:t>
      </w: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Monitoring stosowania Standardów</w:t>
      </w:r>
    </w:p>
    <w:p>
      <w:pPr>
        <w:numPr>
          <w:ilvl w:val="0"/>
          <w:numId w:val="7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Osobą odpowiedzialną za Standardy Ochrony Małoletnich w szkole jest Dyrektor.</w:t>
      </w:r>
    </w:p>
    <w:p>
      <w:pPr>
        <w:numPr>
          <w:ilvl w:val="0"/>
          <w:numId w:val="7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Osoba, o której mowa w ust. 1 powyżej , jest odpowiedzialna za monitorowanie realizacji Standardów, za reagowanie na sygnały naruszenia Standardów i prowadzenie rejestru zgłoszeń oraz za proponowanie zmian w Standardach.</w:t>
      </w:r>
    </w:p>
    <w:p>
      <w:pPr>
        <w:numPr>
          <w:ilvl w:val="0"/>
          <w:numId w:val="7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Osoba, o której mowa w ust. 1 powyżej, przeprowadza wśród Personelu szkoły, raz na 12 miesięcy, ankietę monitorującą poziom realizacji Standardów. Wzór ankiety stanowi Załącznik 6 do niniejszych Standardów. W ankiecie Personel może proponować zmiany Standardów oraz wskazywać naruszenia Standardów w szkole.</w:t>
      </w:r>
    </w:p>
    <w:p>
      <w:pPr>
        <w:numPr>
          <w:ilvl w:val="0"/>
          <w:numId w:val="7"/>
        </w:numPr>
        <w:ind w:left="720" w:hanging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Osoba, o której mowa w ust.1 powyżej, dokonuje opracowania wypełnionych przez pracowników szkoły ankiet. Sporządza na tej podstawie raport z monitoringu,  a następnie wprowadza do Standardów niezbędne zmiany i ogłasza Personelowi dzieciom i ich opiekunom nowe brzmienie Standardów.</w:t>
      </w:r>
    </w:p>
    <w:p>
      <w:pPr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§ 7 </w:t>
      </w:r>
    </w:p>
    <w:p>
      <w:pPr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Przepisy końcowe</w:t>
      </w:r>
    </w:p>
    <w:p>
      <w:pPr>
        <w:jc w:val="center"/>
        <w:rPr>
          <w:rFonts w:ascii="Arial" w:hAnsi="Arial" w:eastAsia="Arial" w:cs="Arial"/>
          <w:b/>
        </w:rPr>
      </w:pPr>
    </w:p>
    <w:p>
      <w:pPr>
        <w:numPr>
          <w:ilvl w:val="0"/>
          <w:numId w:val="8"/>
        </w:numPr>
        <w:ind w:left="720" w:hanging="36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Niniejsze Standardy Ochrony Małoletnich wchodzą w życie z dniem ogłoszenia.</w:t>
      </w:r>
    </w:p>
    <w:p>
      <w:pPr>
        <w:numPr>
          <w:ilvl w:val="0"/>
          <w:numId w:val="9"/>
        </w:numPr>
        <w:ind w:left="720" w:hanging="36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Ogłoszenie następuje w poprzez wywieszenie na tablicy ogłoszeń lub w widocznym miejscu w siedzibie Szkoły lub przez przesłanie tekstu  Standardów drogą mailową elektroniczną oraz poprzez zamieszczenie na stronie internetowej szkoły</w:t>
      </w:r>
      <w:r>
        <w:rPr>
          <w:rFonts w:hint="default" w:ascii="Arial" w:hAnsi="Arial" w:eastAsia="Arial" w:cs="Arial"/>
          <w:color w:val="000000"/>
          <w:sz w:val="24"/>
          <w:szCs w:val="24"/>
          <w:rtl w:val="0"/>
          <w:lang w:val="pl-PL"/>
        </w:rPr>
        <w:t xml:space="preserve"> lub social mediach.</w:t>
      </w:r>
      <w:bookmarkStart w:id="0" w:name="_GoBack"/>
      <w:bookmarkEnd w:id="0"/>
    </w:p>
    <w:p>
      <w:pPr>
        <w:numPr>
          <w:ilvl w:val="0"/>
          <w:numId w:val="9"/>
        </w:numPr>
        <w:ind w:left="720" w:hanging="36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Załączniki do Standardów Ochrony Małoletnich stanowią ich integralną część.</w:t>
      </w:r>
    </w:p>
    <w:p>
      <w:pPr>
        <w:jc w:val="left"/>
        <w:rPr>
          <w:rFonts w:ascii="Palatino Linotype" w:hAnsi="Palatino Linotype" w:eastAsia="Palatino Linotype" w:cs="Palatino Linotype"/>
          <w:b/>
          <w:color w:val="000000"/>
          <w:sz w:val="24"/>
          <w:szCs w:val="24"/>
        </w:rPr>
      </w:pPr>
    </w:p>
    <w:p>
      <w:pPr>
        <w:jc w:val="left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>Z</w:t>
      </w: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ałączniki :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Załącznik nr 1 – ZASADY BEZPIECZNEJ REKRUTACJI PERSONELU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Załącznik nr 2 – ZASADY BEZPIECZNYCH RELACJI PERSONEL-DZIECKO- DZIECKO-PERSONEL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Załącznik nr 3- KARTA INTERWENCJI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Załącznik nr 4 – WYTYCZNE DOTYCZ</w:t>
      </w:r>
      <w:r>
        <w:rPr>
          <w:rFonts w:ascii="Arial" w:hAnsi="Arial" w:eastAsia="Arial" w:cs="Arial"/>
          <w:b/>
          <w:sz w:val="20"/>
          <w:szCs w:val="20"/>
          <w:rtl w:val="0"/>
        </w:rPr>
        <w:t>Ą</w:t>
      </w: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CE ZASAD OCHRONY WIZERUNKU DZIECKA I DANYCH OSOBOWYCH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Załącznik nr 5- ZASADY BEZPIECZNEGO KORZYSTANIA Z INTERNETU I MEDIÓW ELEKTRONICZNYCH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 xml:space="preserve">Załącznik nr 6- ANKIETA </w:t>
      </w:r>
      <w:r>
        <w:rPr>
          <w:rFonts w:ascii="Arial" w:hAnsi="Arial" w:eastAsia="Arial" w:cs="Arial"/>
          <w:b/>
          <w:sz w:val="20"/>
          <w:szCs w:val="20"/>
          <w:rtl w:val="0"/>
        </w:rPr>
        <w:t>MONITORUJĄCA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 xml:space="preserve">Załącznik nr 7 – OŚWIADCZENIE O </w:t>
      </w:r>
      <w:r>
        <w:rPr>
          <w:rFonts w:ascii="Arial" w:hAnsi="Arial" w:eastAsia="Arial" w:cs="Arial"/>
          <w:b/>
          <w:sz w:val="20"/>
          <w:szCs w:val="20"/>
          <w:rtl w:val="0"/>
        </w:rPr>
        <w:t>ZAPOZNANIU</w:t>
      </w: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 xml:space="preserve"> SIĘ ZE STANDARDAMI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 xml:space="preserve">Załącznik nr 8 – OŚWIADCZENIE OSOBY ODPOWIEDZIALNEJ ZA REALIZACJĘ I PROPAGOWANIE STANDARDÓW OCHRONY MAŁOLETNICH PRZED KRZYWDZENIEM 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  <w:rtl w:val="0"/>
        </w:rPr>
        <w:t>Załącznik nr 9 – REJESTR INTERWENCJI I ZGŁOSZEŃ</w:t>
      </w: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</w:p>
    <w:p>
      <w:pPr>
        <w:jc w:val="left"/>
        <w:rPr>
          <w:rFonts w:ascii="Arial" w:hAnsi="Arial" w:eastAsia="Arial" w:cs="Arial"/>
          <w:b/>
          <w:color w:val="000000"/>
          <w:sz w:val="20"/>
          <w:szCs w:val="20"/>
        </w:rPr>
      </w:pPr>
    </w:p>
    <w:p>
      <w:pPr>
        <w:jc w:val="left"/>
        <w:rPr>
          <w:rFonts w:ascii="Palatino Linotype" w:hAnsi="Palatino Linotype" w:eastAsia="Palatino Linotype" w:cs="Palatino Linotype"/>
          <w:color w:val="000000"/>
          <w:sz w:val="24"/>
          <w:szCs w:val="24"/>
        </w:rPr>
      </w:pPr>
    </w:p>
    <w:sectPr>
      <w:pgSz w:w="11906" w:h="16838"/>
      <w:pgMar w:top="1134" w:right="1134" w:bottom="1134" w:left="1134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iberation Serif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Palatino Linotyp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E0B3E"/>
    <w:multiLevelType w:val="multilevel"/>
    <w:tmpl w:val="AF7E0B3E"/>
    <w:lvl w:ilvl="0" w:tentative="0">
      <w:start w:val="1"/>
      <w:numFmt w:val="bullet"/>
      <w:lvlText w:val=""/>
      <w:lvlJc w:val="left"/>
      <w:pPr>
        <w:ind w:left="720" w:hanging="360"/>
      </w:pPr>
    </w:lvl>
    <w:lvl w:ilvl="1" w:tentative="0">
      <w:start w:val="1"/>
      <w:numFmt w:val="bullet"/>
      <w:lvlText w:val="◦"/>
      <w:lvlJc w:val="left"/>
      <w:pPr>
        <w:ind w:left="1080" w:hanging="360"/>
      </w:pPr>
    </w:lvl>
    <w:lvl w:ilvl="2" w:tentative="0">
      <w:start w:val="1"/>
      <w:numFmt w:val="bullet"/>
      <w:lvlText w:val="▪"/>
      <w:lvlJc w:val="left"/>
      <w:pPr>
        <w:ind w:left="1440" w:hanging="360"/>
      </w:pPr>
    </w:lvl>
    <w:lvl w:ilvl="3" w:tentative="0">
      <w:start w:val="1"/>
      <w:numFmt w:val="bullet"/>
      <w:lvlText w:val=""/>
      <w:lvlJc w:val="left"/>
      <w:pPr>
        <w:ind w:left="1800" w:hanging="360"/>
      </w:pPr>
    </w:lvl>
    <w:lvl w:ilvl="4" w:tentative="0">
      <w:start w:val="1"/>
      <w:numFmt w:val="bullet"/>
      <w:lvlText w:val="◦"/>
      <w:lvlJc w:val="left"/>
      <w:pPr>
        <w:ind w:left="2160" w:hanging="360"/>
      </w:pPr>
    </w:lvl>
    <w:lvl w:ilvl="5" w:tentative="0">
      <w:start w:val="1"/>
      <w:numFmt w:val="bullet"/>
      <w:lvlText w:val="▪"/>
      <w:lvlJc w:val="left"/>
      <w:pPr>
        <w:ind w:left="2520" w:hanging="360"/>
      </w:pPr>
    </w:lvl>
    <w:lvl w:ilvl="6" w:tentative="0">
      <w:start w:val="1"/>
      <w:numFmt w:val="bullet"/>
      <w:lvlText w:val=""/>
      <w:lvlJc w:val="left"/>
      <w:pPr>
        <w:ind w:left="2880" w:hanging="360"/>
      </w:pPr>
    </w:lvl>
    <w:lvl w:ilvl="7" w:tentative="0">
      <w:start w:val="1"/>
      <w:numFmt w:val="bullet"/>
      <w:lvlText w:val="◦"/>
      <w:lvlJc w:val="left"/>
      <w:pPr>
        <w:ind w:left="3240" w:hanging="360"/>
      </w:pPr>
    </w:lvl>
    <w:lvl w:ilvl="8" w:tentative="0">
      <w:start w:val="1"/>
      <w:numFmt w:val="bullet"/>
      <w:lvlText w:val="▪"/>
      <w:lvlJc w:val="left"/>
      <w:pPr>
        <w:ind w:left="3600" w:hanging="360"/>
      </w:pPr>
    </w:lvl>
  </w:abstractNum>
  <w:abstractNum w:abstractNumId="1">
    <w:nsid w:val="BFEF99F9"/>
    <w:multiLevelType w:val="multilevel"/>
    <w:tmpl w:val="BFEF99F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BFF6C35B"/>
    <w:multiLevelType w:val="multilevel"/>
    <w:tmpl w:val="BFF6C35B"/>
    <w:lvl w:ilvl="0" w:tentative="0">
      <w:start w:val="2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DAF3CE03"/>
    <w:multiLevelType w:val="multilevel"/>
    <w:tmpl w:val="DAF3CE0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DD7A6865"/>
    <w:multiLevelType w:val="multilevel"/>
    <w:tmpl w:val="DD7A686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F7F32087"/>
    <w:multiLevelType w:val="multilevel"/>
    <w:tmpl w:val="F7F3208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F7F36E19"/>
    <w:multiLevelType w:val="multilevel"/>
    <w:tmpl w:val="F7F36E1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F9382529"/>
    <w:multiLevelType w:val="multilevel"/>
    <w:tmpl w:val="F93825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FF5EA00C"/>
    <w:multiLevelType w:val="multilevel"/>
    <w:tmpl w:val="FF5EA0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DFED4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Liberation Serif" w:cs="Liberation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Liberation Serif" w:hAnsi="Liberation Serif" w:eastAsia="Liberation Serif" w:cs="Liberation Serif"/>
      <w:sz w:val="24"/>
      <w:szCs w:val="24"/>
      <w:lang w:val="pl-P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Office_5.7.3.8096_F1E327BC-269C-435d-A152-05C5408002CA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2024-08-14T11:55:43Z</dcterms:created>
  <dc:creator>Data</dc:creator>
  <cp:lastModifiedBy>paulina</cp:lastModifiedBy>
  <dcterms:modified xsi:type="dcterms:W3CDTF">2024-08-14T11:59:06Z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</Properties>
</file>